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55" w:rsidRDefault="00E30E55" w:rsidP="00E30E55">
      <w:pPr>
        <w:pStyle w:val="Nagwek1"/>
      </w:pPr>
      <w:r>
        <w:t>Zarządzenie nr 16/2024 dyrektora Zespołu Szkół Ponadpodstawowych nr 4 im. ks. Jerzego Popiełuszki z dnia 1 września 2024</w:t>
      </w:r>
      <w:r w:rsidR="000B5800">
        <w:t xml:space="preserve"> </w:t>
      </w:r>
      <w:r>
        <w:t>r. w sprawie podziału kosztów i wydatków w poszczególnych rozdziałach</w:t>
      </w:r>
    </w:p>
    <w:p w:rsidR="00E30E55" w:rsidRDefault="00E30E55" w:rsidP="00E30E55">
      <w:pPr>
        <w:pStyle w:val="Nagwek2"/>
      </w:pPr>
      <w:r>
        <w:t>§1</w:t>
      </w:r>
    </w:p>
    <w:p w:rsidR="00E30E55" w:rsidRDefault="00E30E55" w:rsidP="00E30E55">
      <w:r>
        <w:t>Zatwierdzam i wprowadzam do użytku wewnętrznego:</w:t>
      </w:r>
      <w:r w:rsidR="00C54BD0">
        <w:t xml:space="preserve"> </w:t>
      </w:r>
      <w:r>
        <w:t>Podział kosztów i wydatków</w:t>
      </w:r>
      <w:r w:rsidR="00C54BD0">
        <w:t xml:space="preserve"> w poszczególnych rozdziałach </w:t>
      </w:r>
      <w:r w:rsidR="00C54BD0">
        <w:noBreakHyphen/>
        <w:t xml:space="preserve"> </w:t>
      </w:r>
      <w:r>
        <w:t>załącznik nr 1.</w:t>
      </w:r>
    </w:p>
    <w:p w:rsidR="00E30E55" w:rsidRDefault="00E30E55" w:rsidP="00E30E55">
      <w:pPr>
        <w:pStyle w:val="Nagwek2"/>
      </w:pPr>
      <w:r>
        <w:t>§ 2</w:t>
      </w:r>
    </w:p>
    <w:p w:rsidR="00E30E55" w:rsidRDefault="00E30E55" w:rsidP="00E30E55">
      <w:r>
        <w:t>Zobowiązuję wszystkich pracowników właściwych merytorycznie z tytułu powierzonych im obowiązków do zapoznania się z w/w instrukcją i przestrzegania w pełni zawartych w nich postanowień.</w:t>
      </w:r>
    </w:p>
    <w:p w:rsidR="00E30E55" w:rsidRDefault="00E30E55" w:rsidP="00E30E55">
      <w:pPr>
        <w:pStyle w:val="Nagwek2"/>
      </w:pPr>
      <w:r>
        <w:t>§ 3</w:t>
      </w:r>
    </w:p>
    <w:p w:rsidR="00E30E55" w:rsidRDefault="00E30E55" w:rsidP="00E30E55">
      <w:r>
        <w:t>Zarządzenie wchodzi w życie z dniem 1 września 2024</w:t>
      </w:r>
      <w:r w:rsidR="00C54BD0">
        <w:t xml:space="preserve"> </w:t>
      </w:r>
      <w:bookmarkStart w:id="0" w:name="_GoBack"/>
      <w:bookmarkEnd w:id="0"/>
      <w:r>
        <w:t>r.</w:t>
      </w:r>
      <w:r>
        <w:br w:type="page"/>
      </w:r>
    </w:p>
    <w:p w:rsidR="00E30E55" w:rsidRDefault="00E30E55" w:rsidP="00E30E55">
      <w:pPr>
        <w:pStyle w:val="Nagwek2"/>
      </w:pPr>
      <w:r>
        <w:lastRenderedPageBreak/>
        <w:t>Załącznik nr 1 do Zarządzenia Dyrektora nr 16/2024</w:t>
      </w:r>
    </w:p>
    <w:p w:rsidR="00E30E55" w:rsidRDefault="00E30E55" w:rsidP="00E30E55">
      <w:r>
        <w:t>Na podstawie Rozporządzenia Ministra Rozwoju i Finansów z dnia 21 lipca 2017r. zmieniającego rozporządzenie w sprawie szczegółowej klasyfikacji dochodów, wydatków, przychodów i rozchodów oraz środków pochodzących ze źródeł zagranicznych Dz. U. 2017 poz 1421 (z późn. zm.), w Zespole Szkół Ponadpodstawowych nr 4 im. ks. Jerzego Popiełuszki koszty i wydatki związane z utrzymaniem jednostki rozliczane są proporcjonalnie w rozdziałach 80115 - Technika, 80117 - Branżowe szkoły I i II stopnia, 80148 - Stołówki szkolne, przedszkolne. W celu jednolitego rozliczania wprowadza się następujący sposób podziału kosztów i wydatków.</w:t>
      </w:r>
    </w:p>
    <w:p w:rsidR="00E30E55" w:rsidRDefault="00E30E55" w:rsidP="00E30E55"/>
    <w:p w:rsidR="00E30E55" w:rsidRDefault="00E30E55" w:rsidP="00E30E55">
      <w:pPr>
        <w:pStyle w:val="Nagwek3"/>
      </w:pPr>
      <w:r>
        <w:t>Załącznik nr 1 do sposobu podziału kosztów i wydatków w poszczególnych rozdziałach</w:t>
      </w:r>
    </w:p>
    <w:p w:rsidR="00E30E55" w:rsidRDefault="00E30E55" w:rsidP="00E30E55">
      <w:r>
        <w:t>Do wyliczenia  miesięcznych kosztów utrzymania stołówki za: energię elektryczną, CO, CW, zamówioną moc cieplną, wodę i ścieki, wywóz nieczystości, rozmowy telefoniczne przyjęto stosunek % powierzchni stołówki do całkowitej powierzchni budynków.</w:t>
      </w:r>
    </w:p>
    <w:p w:rsidR="00E30E55" w:rsidRDefault="00E30E55" w:rsidP="00E30E55">
      <w:r>
        <w:t>Powierzchnia użytkowa sali sportowej wraz z łącznikami i bud. dyd. - 2.723,39 m</w:t>
      </w:r>
      <w:r w:rsidRPr="00E30E55">
        <w:rPr>
          <w:vertAlign w:val="superscript"/>
        </w:rPr>
        <w:t>2</w:t>
      </w:r>
    </w:p>
    <w:p w:rsidR="00E30E55" w:rsidRDefault="00E30E55" w:rsidP="00817349">
      <w:pPr>
        <w:spacing w:before="240"/>
      </w:pPr>
      <w:r>
        <w:t>Powierzchnia użytkowa starej części szkoły</w:t>
      </w:r>
      <w:r w:rsidR="00817349">
        <w:t xml:space="preserve">: </w:t>
      </w:r>
      <w:r>
        <w:t>2</w:t>
      </w:r>
      <w:r w:rsidR="00817349">
        <w:t xml:space="preserve"> </w:t>
      </w:r>
      <w:r>
        <w:t>593,80 m</w:t>
      </w:r>
      <w:r w:rsidRPr="00817349">
        <w:rPr>
          <w:vertAlign w:val="superscript"/>
        </w:rPr>
        <w:t>2</w:t>
      </w:r>
    </w:p>
    <w:p w:rsidR="00E30E55" w:rsidRDefault="00E30E55" w:rsidP="00E30E55">
      <w:r>
        <w:t xml:space="preserve">w tym: budynek frontowy pow. </w:t>
      </w:r>
      <w:r w:rsidR="00817349">
        <w:t>u</w:t>
      </w:r>
      <w:r>
        <w:t>żytk</w:t>
      </w:r>
      <w:r w:rsidR="00817349">
        <w:t xml:space="preserve">.: </w:t>
      </w:r>
      <w:r>
        <w:t>1</w:t>
      </w:r>
      <w:r w:rsidR="00817349">
        <w:t xml:space="preserve"> </w:t>
      </w:r>
      <w:r>
        <w:t>692,60 m</w:t>
      </w:r>
      <w:r w:rsidRPr="00817349">
        <w:rPr>
          <w:vertAlign w:val="superscript"/>
        </w:rPr>
        <w:t>2</w:t>
      </w:r>
    </w:p>
    <w:p w:rsidR="00E30E55" w:rsidRDefault="00E30E55" w:rsidP="00E30E55">
      <w:r>
        <w:t>budynek "A" pow. użytkowa</w:t>
      </w:r>
      <w:r w:rsidR="00817349">
        <w:t xml:space="preserve">: </w:t>
      </w:r>
      <w:r>
        <w:t>272,00 m</w:t>
      </w:r>
      <w:r w:rsidRPr="00817349">
        <w:rPr>
          <w:vertAlign w:val="superscript"/>
        </w:rPr>
        <w:t>2</w:t>
      </w:r>
    </w:p>
    <w:p w:rsidR="00E30E55" w:rsidRDefault="00E30E55" w:rsidP="00E30E55">
      <w:r>
        <w:t xml:space="preserve">budynek gastronomiczny </w:t>
      </w:r>
      <w:r w:rsidR="00B21FC2">
        <w:t>"B"</w:t>
      </w:r>
      <w:r w:rsidR="00817349">
        <w:t xml:space="preserve">: </w:t>
      </w:r>
      <w:r w:rsidR="00B21FC2">
        <w:t>629,20 m</w:t>
      </w:r>
      <w:r w:rsidR="00B21FC2" w:rsidRPr="00817349">
        <w:rPr>
          <w:vertAlign w:val="superscript"/>
        </w:rPr>
        <w:t>2</w:t>
      </w:r>
      <w:r w:rsidR="00B21FC2">
        <w:t xml:space="preserve"> (</w:t>
      </w:r>
      <w:r>
        <w:t>w tym powierzchnia stołówki wraz z zapleczem 235,60 m</w:t>
      </w:r>
      <w:r w:rsidRPr="00817349">
        <w:rPr>
          <w:vertAlign w:val="superscript"/>
        </w:rPr>
        <w:t>2</w:t>
      </w:r>
      <w:r w:rsidR="00B21FC2">
        <w:t>)</w:t>
      </w:r>
    </w:p>
    <w:p w:rsidR="00E30E55" w:rsidRDefault="00E30E55" w:rsidP="00E30E55">
      <w:r>
        <w:t>Razem powierzchnia użytkowa 5.317,19 m2</w:t>
      </w:r>
    </w:p>
    <w:p w:rsidR="00E30E55" w:rsidRDefault="00E30E55" w:rsidP="00817349">
      <w:pPr>
        <w:spacing w:before="240"/>
      </w:pPr>
      <w:r>
        <w:t>Powierzchnia użytkowa stołówki wraz z zapleczem</w:t>
      </w:r>
      <w:r w:rsidR="00817349">
        <w:t xml:space="preserve">: </w:t>
      </w:r>
      <w:r>
        <w:t>235,6 m</w:t>
      </w:r>
      <w:r w:rsidRPr="00817349">
        <w:rPr>
          <w:vertAlign w:val="superscript"/>
        </w:rPr>
        <w:t>2</w:t>
      </w:r>
    </w:p>
    <w:p w:rsidR="00E30E55" w:rsidRDefault="00817349" w:rsidP="00E30E55">
      <w:r>
        <w:t xml:space="preserve">5 </w:t>
      </w:r>
      <w:r w:rsidR="00E30E55">
        <w:t>317,19 m</w:t>
      </w:r>
      <w:r w:rsidR="00E30E55" w:rsidRPr="00817349">
        <w:rPr>
          <w:vertAlign w:val="superscript"/>
        </w:rPr>
        <w:t>2</w:t>
      </w:r>
      <w:r w:rsidR="00E30E55">
        <w:t xml:space="preserve"> powierzchnia całej szkoły stanowiąca podstawę do ustalenia % powierzchni stołówki w stosunku do całkowitej powierzchni szkoły.</w:t>
      </w:r>
    </w:p>
    <w:p w:rsidR="00E30E55" w:rsidRDefault="00817349" w:rsidP="00E30E55">
      <w:r>
        <w:t xml:space="preserve">5 </w:t>
      </w:r>
      <w:r w:rsidR="00E30E55">
        <w:t>081,59 m</w:t>
      </w:r>
      <w:r w:rsidR="00E30E55" w:rsidRPr="00817349">
        <w:rPr>
          <w:vertAlign w:val="superscript"/>
        </w:rPr>
        <w:t>2</w:t>
      </w:r>
      <w:r>
        <w:t>/</w:t>
      </w:r>
      <w:r w:rsidR="00E30E55">
        <w:t>5</w:t>
      </w:r>
      <w:r w:rsidR="000B5800">
        <w:t xml:space="preserve"> </w:t>
      </w:r>
      <w:r w:rsidR="00E30E55">
        <w:t>317,19 m</w:t>
      </w:r>
      <w:r w:rsidR="00E30E55" w:rsidRPr="00817349">
        <w:rPr>
          <w:vertAlign w:val="superscript"/>
        </w:rPr>
        <w:t>2</w:t>
      </w:r>
      <w:r w:rsidR="00E30E55">
        <w:t xml:space="preserve"> = 95,6% (r. 80115, 80117)</w:t>
      </w:r>
    </w:p>
    <w:p w:rsidR="00E30E55" w:rsidRDefault="00817349" w:rsidP="00E30E55">
      <w:r>
        <w:t>235,60 m</w:t>
      </w:r>
      <w:r w:rsidRPr="00817349">
        <w:rPr>
          <w:vertAlign w:val="superscript"/>
        </w:rPr>
        <w:t>2</w:t>
      </w:r>
      <w:r>
        <w:t>/</w:t>
      </w:r>
      <w:r w:rsidR="00E30E55">
        <w:t>5</w:t>
      </w:r>
      <w:r w:rsidR="000B5800">
        <w:t xml:space="preserve"> </w:t>
      </w:r>
      <w:r w:rsidR="00E30E55">
        <w:t>317,19 m</w:t>
      </w:r>
      <w:r w:rsidR="00E30E55" w:rsidRPr="00817349">
        <w:rPr>
          <w:vertAlign w:val="superscript"/>
        </w:rPr>
        <w:t>2</w:t>
      </w:r>
      <w:r w:rsidR="00E30E55">
        <w:t xml:space="preserve"> = 4,4% (r. 80148)</w:t>
      </w:r>
    </w:p>
    <w:p w:rsidR="00E30E55" w:rsidRDefault="00E30E55" w:rsidP="00817349">
      <w:pPr>
        <w:spacing w:before="240"/>
      </w:pPr>
      <w:r>
        <w:t>Koszty zużycia energii elektrycznej, wody i ścieków są fakturowane osobno za szkołę (w tym stołówka) i osobno za halę sportową w związku z czym przyjęto następujący sposób ich rozliczania.</w:t>
      </w:r>
    </w:p>
    <w:p w:rsidR="00E30E55" w:rsidRDefault="00817349" w:rsidP="00817349">
      <w:pPr>
        <w:spacing w:before="240"/>
      </w:pPr>
      <w:r>
        <w:t xml:space="preserve">2 </w:t>
      </w:r>
      <w:r w:rsidR="00E30E55">
        <w:t>593,80 m</w:t>
      </w:r>
      <w:r w:rsidR="00E30E55" w:rsidRPr="00817349">
        <w:rPr>
          <w:vertAlign w:val="superscript"/>
        </w:rPr>
        <w:t>2</w:t>
      </w:r>
      <w:r w:rsidR="00E30E55">
        <w:t xml:space="preserve"> powierzchnia stanowiąca podstawę do ustalenia % powierzchni stołówki w stosunku do powierzchni starej części szkoły w celu wyliczenia kosztów za zużytą energię elektryczną, wodę i ścieki (w przypadku gdy wystawiane są faktury osobno na stary i nowy obiekt).</w:t>
      </w:r>
    </w:p>
    <w:p w:rsidR="00E30E55" w:rsidRDefault="00817349" w:rsidP="00E30E55">
      <w:r>
        <w:lastRenderedPageBreak/>
        <w:t xml:space="preserve">2 </w:t>
      </w:r>
      <w:r w:rsidR="00E30E55">
        <w:t>358,20 m</w:t>
      </w:r>
      <w:r w:rsidR="00E30E55" w:rsidRPr="00817349">
        <w:rPr>
          <w:vertAlign w:val="superscript"/>
        </w:rPr>
        <w:t>2</w:t>
      </w:r>
      <w:r>
        <w:t>/</w:t>
      </w:r>
      <w:r w:rsidR="00983FE9">
        <w:t xml:space="preserve">2 </w:t>
      </w:r>
      <w:r w:rsidR="00E30E55">
        <w:t>593,80 m</w:t>
      </w:r>
      <w:r w:rsidR="00E30E55" w:rsidRPr="00817349">
        <w:rPr>
          <w:vertAlign w:val="superscript"/>
        </w:rPr>
        <w:t>2</w:t>
      </w:r>
      <w:r w:rsidR="00E30E55">
        <w:t xml:space="preserve"> = 90,9 % (r. 80115, 80117)</w:t>
      </w:r>
    </w:p>
    <w:p w:rsidR="00E30E55" w:rsidRDefault="00E30E55" w:rsidP="00E30E55">
      <w:r>
        <w:t>235,60 m</w:t>
      </w:r>
      <w:r w:rsidRPr="00817349">
        <w:rPr>
          <w:vertAlign w:val="superscript"/>
        </w:rPr>
        <w:t>2</w:t>
      </w:r>
      <w:r w:rsidR="00817349">
        <w:t>/</w:t>
      </w:r>
      <w:r w:rsidR="00983FE9">
        <w:t xml:space="preserve">2 </w:t>
      </w:r>
      <w:r>
        <w:t>593,80 m</w:t>
      </w:r>
      <w:r w:rsidRPr="00983FE9">
        <w:rPr>
          <w:vertAlign w:val="superscript"/>
        </w:rPr>
        <w:t>2</w:t>
      </w:r>
      <w:r>
        <w:t xml:space="preserve"> = 9,1 % (r. 80148)</w:t>
      </w:r>
    </w:p>
    <w:p w:rsidR="00E30E55" w:rsidRDefault="00E30E55" w:rsidP="00E30E55"/>
    <w:p w:rsidR="00E30E55" w:rsidRDefault="00E30E55" w:rsidP="00E30E55">
      <w:r>
        <w:t>Podział kosztów i wydatków w poszczególnych rozdziałach przyjmuje się w następujących wielkościach:</w:t>
      </w:r>
    </w:p>
    <w:p w:rsidR="00E30E55" w:rsidRDefault="00E30E55" w:rsidP="00E30E55">
      <w:r>
        <w:t>Faktura ogólna - wystawiana na cały obiekt tj. CO, wywóz nieczystości, rozmowy telefoniczne, monitoring itp.:</w:t>
      </w:r>
    </w:p>
    <w:p w:rsidR="00E30E55" w:rsidRDefault="00E30E55" w:rsidP="00E30E55">
      <w:r>
        <w:t>Rozdział 80148</w:t>
      </w:r>
      <w:r w:rsidR="00983FE9">
        <w:t xml:space="preserve">: </w:t>
      </w:r>
      <w:r>
        <w:t>4,4%</w:t>
      </w:r>
    </w:p>
    <w:p w:rsidR="00E30E55" w:rsidRDefault="00E30E55" w:rsidP="00E30E55">
      <w:r>
        <w:t>Pozostałość tj 95,6% kwoty całej faktury jest rozliczana w stosunku do ilości uczniów w poszczególnych szkołach i kalkulowana w następujący sposób:</w:t>
      </w:r>
    </w:p>
    <w:p w:rsidR="00E30E55" w:rsidRDefault="00E30E55" w:rsidP="00E30E55">
      <w:r>
        <w:t>Rozdział 80115</w:t>
      </w:r>
      <w:r w:rsidR="00983FE9">
        <w:t xml:space="preserve"> </w:t>
      </w:r>
      <w:r w:rsidR="00983FE9">
        <w:noBreakHyphen/>
        <w:t xml:space="preserve"> </w:t>
      </w:r>
      <w:r>
        <w:t>32%</w:t>
      </w:r>
    </w:p>
    <w:p w:rsidR="00E30E55" w:rsidRDefault="00E30E55" w:rsidP="00E30E55">
      <w:r>
        <w:t>Rozdział 80117</w:t>
      </w:r>
      <w:r w:rsidR="00983FE9">
        <w:t xml:space="preserve"> </w:t>
      </w:r>
      <w:r w:rsidR="00983FE9">
        <w:noBreakHyphen/>
        <w:t xml:space="preserve"> </w:t>
      </w:r>
      <w:r>
        <w:t>68%</w:t>
      </w:r>
    </w:p>
    <w:p w:rsidR="00E30E55" w:rsidRDefault="00E30E55" w:rsidP="00E30E55">
      <w:r>
        <w:t>Faktura osobno na szkołę i osobno na halę sportową tj. energia elektryczna, woda i ścieki itp.</w:t>
      </w:r>
    </w:p>
    <w:p w:rsidR="00E30E55" w:rsidRDefault="00E30E55" w:rsidP="00E30E55">
      <w:r>
        <w:t>Rozdział 80148</w:t>
      </w:r>
      <w:r w:rsidR="00983FE9">
        <w:t xml:space="preserve"> </w:t>
      </w:r>
      <w:r w:rsidR="00983FE9">
        <w:noBreakHyphen/>
        <w:t xml:space="preserve"> </w:t>
      </w:r>
      <w:r>
        <w:t>9,1 %</w:t>
      </w:r>
    </w:p>
    <w:p w:rsidR="00E30E55" w:rsidRDefault="00E30E55" w:rsidP="00E30E55">
      <w:r>
        <w:t>Pozostałość tj 90,9% kwoty całej faktury jest rozliczana w stosunku do ilości uczniów w poszczególnych szkołach i kalkulowana w następujący sposób:</w:t>
      </w:r>
    </w:p>
    <w:p w:rsidR="00E30E55" w:rsidRDefault="00E30E55" w:rsidP="00E30E55">
      <w:r>
        <w:t xml:space="preserve">Rozdział 80115 </w:t>
      </w:r>
      <w:r w:rsidR="00983FE9">
        <w:noBreakHyphen/>
        <w:t xml:space="preserve"> </w:t>
      </w:r>
      <w:r>
        <w:t>32%</w:t>
      </w:r>
    </w:p>
    <w:p w:rsidR="00E30E55" w:rsidRDefault="00E30E55" w:rsidP="00E30E55">
      <w:r>
        <w:t>Rozdział 80117</w:t>
      </w:r>
      <w:r w:rsidR="00983FE9">
        <w:t xml:space="preserve"> </w:t>
      </w:r>
      <w:r w:rsidR="00983FE9">
        <w:noBreakHyphen/>
        <w:t xml:space="preserve"> </w:t>
      </w:r>
      <w:r>
        <w:t>68%</w:t>
      </w:r>
    </w:p>
    <w:p w:rsidR="00E30E55" w:rsidRDefault="00E30E55" w:rsidP="00946FD1">
      <w:pPr>
        <w:pStyle w:val="Nagwek3"/>
      </w:pPr>
      <w:r>
        <w:t>Uwaga:</w:t>
      </w:r>
    </w:p>
    <w:p w:rsidR="00E30E55" w:rsidRDefault="00E30E55" w:rsidP="00E30E55">
      <w:r>
        <w:t>Pozostałe koszty i wydatki które dotyczą szkoły i stołówki</w:t>
      </w:r>
      <w:r w:rsidR="00946FD1">
        <w:t>,</w:t>
      </w:r>
      <w:r>
        <w:t xml:space="preserve"> a są objęte jedną fakturą należy rozliczać:</w:t>
      </w:r>
    </w:p>
    <w:p w:rsidR="00E30E55" w:rsidRDefault="00E30E55" w:rsidP="00946FD1">
      <w:pPr>
        <w:pStyle w:val="Akapitzlist"/>
        <w:numPr>
          <w:ilvl w:val="0"/>
          <w:numId w:val="2"/>
        </w:numPr>
      </w:pPr>
      <w:r>
        <w:t>rozdział 80115, 80117 zgodnie z podanymi wyżej proporcjami</w:t>
      </w:r>
      <w:r w:rsidR="00983FE9">
        <w:t xml:space="preserve"> </w:t>
      </w:r>
      <w:r w:rsidR="00983FE9">
        <w:noBreakHyphen/>
        <w:t xml:space="preserve"> </w:t>
      </w:r>
      <w:r>
        <w:t>95,6 %,</w:t>
      </w:r>
    </w:p>
    <w:p w:rsidR="00E30E55" w:rsidRDefault="00E30E55" w:rsidP="00946FD1">
      <w:pPr>
        <w:pStyle w:val="Akapitzlist"/>
        <w:numPr>
          <w:ilvl w:val="0"/>
          <w:numId w:val="2"/>
        </w:numPr>
      </w:pPr>
      <w:r>
        <w:t>rozdział 80148</w:t>
      </w:r>
      <w:r w:rsidR="00983FE9">
        <w:t xml:space="preserve"> </w:t>
      </w:r>
      <w:r w:rsidR="00983FE9">
        <w:noBreakHyphen/>
        <w:t xml:space="preserve"> </w:t>
      </w:r>
      <w:r>
        <w:t>4,4 %,</w:t>
      </w:r>
    </w:p>
    <w:p w:rsidR="00E30E55" w:rsidRDefault="00E30E55" w:rsidP="00E30E55">
      <w:r>
        <w:t>natomiast koszty i wydatki dla których wystawiane są dwie faktury dla szkoły i stołówki</w:t>
      </w:r>
      <w:r w:rsidR="00983FE9">
        <w:t xml:space="preserve"> </w:t>
      </w:r>
      <w:r w:rsidR="00983FE9">
        <w:noBreakHyphen/>
        <w:t xml:space="preserve"> </w:t>
      </w:r>
      <w:r>
        <w:t>jedna faktura sala sportowa</w:t>
      </w:r>
      <w:r w:rsidR="00983FE9">
        <w:t xml:space="preserve"> </w:t>
      </w:r>
      <w:r w:rsidR="00983FE9">
        <w:noBreakHyphen/>
        <w:t xml:space="preserve"> </w:t>
      </w:r>
      <w:r>
        <w:t>druga faktura, (np. energia elektryczna) należy rozliczać:</w:t>
      </w:r>
    </w:p>
    <w:p w:rsidR="00E30E55" w:rsidRDefault="00E30E55" w:rsidP="00946FD1">
      <w:pPr>
        <w:pStyle w:val="Akapitzlist"/>
        <w:numPr>
          <w:ilvl w:val="0"/>
          <w:numId w:val="3"/>
        </w:numPr>
      </w:pPr>
      <w:r>
        <w:t>rozdział 80115, 80117 zgodnie z</w:t>
      </w:r>
      <w:r w:rsidR="00983FE9">
        <w:t xml:space="preserve"> podanymi wyżej proporcjami </w:t>
      </w:r>
      <w:r w:rsidR="00983FE9">
        <w:noBreakHyphen/>
        <w:t xml:space="preserve"> </w:t>
      </w:r>
      <w:r>
        <w:t>90,9 %</w:t>
      </w:r>
    </w:p>
    <w:p w:rsidR="00E30E55" w:rsidRDefault="00E30E55" w:rsidP="00946FD1">
      <w:pPr>
        <w:pStyle w:val="Akapitzlist"/>
        <w:numPr>
          <w:ilvl w:val="0"/>
          <w:numId w:val="3"/>
        </w:numPr>
      </w:pPr>
      <w:r>
        <w:t>rozdział 80148</w:t>
      </w:r>
      <w:r w:rsidR="00983FE9">
        <w:t xml:space="preserve"> </w:t>
      </w:r>
      <w:r w:rsidR="00983FE9">
        <w:noBreakHyphen/>
        <w:t xml:space="preserve"> </w:t>
      </w:r>
      <w:r>
        <w:t>9,1  %.</w:t>
      </w:r>
    </w:p>
    <w:p w:rsidR="00E30E55" w:rsidRDefault="00E30E55" w:rsidP="00E30E55">
      <w:r>
        <w:t xml:space="preserve">W przypadku kosztów i wydatków związanych na przykład z zakupem środków dydaktycznych przeznaczonych na zajęcia </w:t>
      </w:r>
      <w:r w:rsidR="00983FE9">
        <w:t xml:space="preserve">praktycznej nauki w technikum </w:t>
      </w:r>
      <w:r w:rsidR="00983FE9">
        <w:noBreakHyphen/>
        <w:t xml:space="preserve"> </w:t>
      </w:r>
      <w:r>
        <w:t>klasyfikujemy tylko w rozdziale 80115, zakup śro</w:t>
      </w:r>
      <w:r w:rsidR="00983FE9">
        <w:t xml:space="preserve">dków żywności na stołówkę </w:t>
      </w:r>
      <w:r w:rsidR="00983FE9">
        <w:noBreakHyphen/>
        <w:t xml:space="preserve"> </w:t>
      </w:r>
      <w:r>
        <w:t>rozdział 80148.</w:t>
      </w:r>
    </w:p>
    <w:p w:rsidR="00E30E55" w:rsidRDefault="00E30E55" w:rsidP="00E30E55">
      <w:r>
        <w:t>Ponadto ustala się następujące zasady:</w:t>
      </w:r>
    </w:p>
    <w:p w:rsidR="00E30E55" w:rsidRDefault="00E30E55" w:rsidP="00E30E55">
      <w:r>
        <w:t>1.</w:t>
      </w:r>
      <w:r>
        <w:tab/>
        <w:t>Podatek Vat naliczony rozliczany jest w rozdziale 80115.</w:t>
      </w:r>
    </w:p>
    <w:p w:rsidR="00A841AE" w:rsidRPr="009B52AA" w:rsidRDefault="00E30E55" w:rsidP="00E30E55">
      <w:r>
        <w:t>2.</w:t>
      </w:r>
      <w:r>
        <w:tab/>
        <w:t>Dochody z tytułu najmu, oraz duplikatów klasyfikowane są w rozdziale 80115.</w:t>
      </w:r>
    </w:p>
    <w:sectPr w:rsidR="00A841AE" w:rsidRPr="009B5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B0D8D"/>
    <w:multiLevelType w:val="hybridMultilevel"/>
    <w:tmpl w:val="228EE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D2AC0"/>
    <w:multiLevelType w:val="hybridMultilevel"/>
    <w:tmpl w:val="7C705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75122"/>
    <w:multiLevelType w:val="hybridMultilevel"/>
    <w:tmpl w:val="8CB8E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A8"/>
    <w:rsid w:val="000B5800"/>
    <w:rsid w:val="005329EA"/>
    <w:rsid w:val="007D3FFF"/>
    <w:rsid w:val="00817349"/>
    <w:rsid w:val="008A15F7"/>
    <w:rsid w:val="008D15DD"/>
    <w:rsid w:val="00946FD1"/>
    <w:rsid w:val="00975599"/>
    <w:rsid w:val="00983FE9"/>
    <w:rsid w:val="009B52AA"/>
    <w:rsid w:val="00A763B0"/>
    <w:rsid w:val="00A841AE"/>
    <w:rsid w:val="00B21FC2"/>
    <w:rsid w:val="00B63AA8"/>
    <w:rsid w:val="00B82E3B"/>
    <w:rsid w:val="00C54BD0"/>
    <w:rsid w:val="00E3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329EA"/>
    <w:pPr>
      <w:spacing w:line="276" w:lineRule="auto"/>
    </w:pPr>
    <w:rPr>
      <w:rFonts w:ascii="Arial" w:eastAsia="Calibri" w:hAnsi="Arial"/>
      <w:noProof/>
      <w:sz w:val="26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329EA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B52AA"/>
    <w:pPr>
      <w:keepNext/>
      <w:spacing w:before="240" w:after="60"/>
      <w:outlineLvl w:val="1"/>
    </w:pPr>
    <w:rPr>
      <w:rFonts w:eastAsiaTheme="majorEastAsia" w:cstheme="majorBidi"/>
      <w:b/>
      <w:bCs/>
      <w:iCs/>
      <w:sz w:val="30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9B52AA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A15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A15F7"/>
    <w:rPr>
      <w:rFonts w:ascii="Segoe UI" w:eastAsia="Calibri" w:hAnsi="Segoe UI" w:cs="Segoe UI"/>
      <w:noProof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rsid w:val="005329EA"/>
    <w:rPr>
      <w:rFonts w:ascii="Arial" w:eastAsiaTheme="majorEastAsia" w:hAnsi="Arial" w:cstheme="majorBidi"/>
      <w:b/>
      <w:bCs/>
      <w:noProof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9B52AA"/>
    <w:rPr>
      <w:rFonts w:ascii="Arial" w:eastAsiaTheme="majorEastAsia" w:hAnsi="Arial" w:cstheme="majorBidi"/>
      <w:b/>
      <w:bCs/>
      <w:iCs/>
      <w:noProof/>
      <w:sz w:val="30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rsid w:val="009B52AA"/>
    <w:rPr>
      <w:rFonts w:ascii="Arial" w:eastAsiaTheme="majorEastAsia" w:hAnsi="Arial" w:cstheme="majorBidi"/>
      <w:b/>
      <w:bCs/>
      <w:noProof/>
      <w:color w:val="000000" w:themeColor="text1"/>
      <w:sz w:val="28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46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329EA"/>
    <w:pPr>
      <w:spacing w:line="276" w:lineRule="auto"/>
    </w:pPr>
    <w:rPr>
      <w:rFonts w:ascii="Arial" w:eastAsia="Calibri" w:hAnsi="Arial"/>
      <w:noProof/>
      <w:sz w:val="26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329EA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B52AA"/>
    <w:pPr>
      <w:keepNext/>
      <w:spacing w:before="240" w:after="60"/>
      <w:outlineLvl w:val="1"/>
    </w:pPr>
    <w:rPr>
      <w:rFonts w:eastAsiaTheme="majorEastAsia" w:cstheme="majorBidi"/>
      <w:b/>
      <w:bCs/>
      <w:iCs/>
      <w:sz w:val="30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9B52AA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A15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A15F7"/>
    <w:rPr>
      <w:rFonts w:ascii="Segoe UI" w:eastAsia="Calibri" w:hAnsi="Segoe UI" w:cs="Segoe UI"/>
      <w:noProof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rsid w:val="005329EA"/>
    <w:rPr>
      <w:rFonts w:ascii="Arial" w:eastAsiaTheme="majorEastAsia" w:hAnsi="Arial" w:cstheme="majorBidi"/>
      <w:b/>
      <w:bCs/>
      <w:noProof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9B52AA"/>
    <w:rPr>
      <w:rFonts w:ascii="Arial" w:eastAsiaTheme="majorEastAsia" w:hAnsi="Arial" w:cstheme="majorBidi"/>
      <w:b/>
      <w:bCs/>
      <w:iCs/>
      <w:noProof/>
      <w:sz w:val="30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rsid w:val="009B52AA"/>
    <w:rPr>
      <w:rFonts w:ascii="Arial" w:eastAsiaTheme="majorEastAsia" w:hAnsi="Arial" w:cstheme="majorBidi"/>
      <w:b/>
      <w:bCs/>
      <w:noProof/>
      <w:color w:val="000000" w:themeColor="text1"/>
      <w:sz w:val="28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46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1/2020/2021</vt:lpstr>
    </vt:vector>
  </TitlesOfParts>
  <Company>Ministerstwo Edukacji Narodowej i Sportu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1/2020/2021</dc:title>
  <dc:creator>vice</dc:creator>
  <cp:lastModifiedBy>SERWER</cp:lastModifiedBy>
  <cp:revision>5</cp:revision>
  <cp:lastPrinted>2022-08-30T07:58:00Z</cp:lastPrinted>
  <dcterms:created xsi:type="dcterms:W3CDTF">2024-11-12T12:36:00Z</dcterms:created>
  <dcterms:modified xsi:type="dcterms:W3CDTF">2024-11-13T10:56:00Z</dcterms:modified>
</cp:coreProperties>
</file>